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65"/>
        <w:tblW w:w="8875" w:type="dxa"/>
        <w:tblLayout w:type="fixed"/>
        <w:tblLook w:val="04A0" w:firstRow="1" w:lastRow="0" w:firstColumn="1" w:lastColumn="0" w:noHBand="0" w:noVBand="1"/>
      </w:tblPr>
      <w:tblGrid>
        <w:gridCol w:w="1073"/>
        <w:gridCol w:w="1441"/>
        <w:gridCol w:w="739"/>
        <w:gridCol w:w="1740"/>
        <w:gridCol w:w="993"/>
        <w:gridCol w:w="853"/>
        <w:gridCol w:w="2036"/>
      </w:tblGrid>
      <w:tr w:rsidR="0012575E" w:rsidTr="0012575E">
        <w:trPr>
          <w:trHeight w:val="882"/>
        </w:trPr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75E" w:rsidRPr="0012575E" w:rsidRDefault="0012575E" w:rsidP="0012575E">
            <w:pPr>
              <w:jc w:val="center"/>
              <w:rPr>
                <w:sz w:val="30"/>
                <w:szCs w:val="30"/>
              </w:rPr>
            </w:pPr>
            <w:r w:rsidRPr="0012575E">
              <w:rPr>
                <w:rFonts w:hint="eastAsia"/>
                <w:sz w:val="30"/>
                <w:szCs w:val="30"/>
              </w:rPr>
              <w:t>江苏海菱机电设备工程有限公司</w:t>
            </w:r>
          </w:p>
          <w:p w:rsidR="0012575E" w:rsidRPr="0012575E" w:rsidRDefault="0012575E" w:rsidP="0012575E">
            <w:pPr>
              <w:jc w:val="center"/>
              <w:rPr>
                <w:szCs w:val="21"/>
              </w:rPr>
            </w:pPr>
            <w:r w:rsidRPr="0012575E">
              <w:rPr>
                <w:rFonts w:hint="eastAsia"/>
                <w:szCs w:val="21"/>
              </w:rPr>
              <w:t>（原：溧阳申菱电梯工程有限公司）</w:t>
            </w:r>
          </w:p>
        </w:tc>
      </w:tr>
      <w:tr w:rsidR="0012575E" w:rsidTr="0012575E">
        <w:trPr>
          <w:trHeight w:val="6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江苏省常州溧阳</w:t>
            </w:r>
            <w:proofErr w:type="gramStart"/>
            <w:r>
              <w:rPr>
                <w:rFonts w:hint="eastAsia"/>
                <w:sz w:val="24"/>
              </w:rPr>
              <w:t>市泓叶路</w:t>
            </w:r>
            <w:proofErr w:type="gramEnd"/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0519-8095700</w:t>
            </w:r>
          </w:p>
        </w:tc>
      </w:tr>
      <w:tr w:rsidR="0012575E" w:rsidTr="0012575E">
        <w:trPr>
          <w:trHeight w:val="6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E7172C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 w:rsidR="0012575E">
              <w:rPr>
                <w:rFonts w:hint="eastAsia"/>
                <w:sz w:val="24"/>
              </w:rPr>
              <w:t>万元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575E" w:rsidTr="0012575E">
        <w:trPr>
          <w:trHeight w:val="6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主要经营业务</w:t>
            </w:r>
          </w:p>
        </w:tc>
        <w:tc>
          <w:tcPr>
            <w:tcW w:w="78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电梯、自动扶梯安装、维修、销售、保养；电梯及自动扶梯配件销售；职业技能培训等</w:t>
            </w:r>
          </w:p>
        </w:tc>
      </w:tr>
      <w:tr w:rsidR="0012575E" w:rsidTr="0012575E">
        <w:trPr>
          <w:trHeight w:val="68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</w:t>
            </w:r>
          </w:p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安装、维修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级</w:t>
            </w:r>
          </w:p>
        </w:tc>
      </w:tr>
      <w:tr w:rsidR="0012575E" w:rsidTr="0012575E">
        <w:trPr>
          <w:trHeight w:val="9805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75E" w:rsidRDefault="0012575E" w:rsidP="00125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公司情况简介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2575E" w:rsidRDefault="0012575E" w:rsidP="0012575E">
            <w:pPr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江苏海菱机电设备工程有限公司（</w:t>
            </w:r>
            <w:r w:rsidRPr="0012575E">
              <w:rPr>
                <w:rFonts w:ascii="宋体" w:hAnsi="宋体" w:cs="宋体" w:hint="eastAsia"/>
                <w:sz w:val="22"/>
              </w:rPr>
              <w:t>原：“溧阳申菱电梯工程有限公司”</w:t>
            </w:r>
            <w:r>
              <w:rPr>
                <w:rFonts w:ascii="宋体" w:hAnsi="宋体" w:cs="宋体" w:hint="eastAsia"/>
                <w:sz w:val="22"/>
              </w:rPr>
              <w:t>）成立于1996年3月，由上海机电股份有限公司控股70％，是一家专业从事电梯安装、改造、维修保养、销售及售后服务的电梯工程有限公司。公司按照“上海机电”及“上海三菱”先进的管理和技术标准进行管理，坚持“体现用户至上精神，满足上上下下享受”的宗旨，不断奋发图强、勇攀高峰。</w:t>
            </w:r>
          </w:p>
          <w:p w:rsidR="0012575E" w:rsidRDefault="0012575E" w:rsidP="0012575E">
            <w:pPr>
              <w:spacing w:beforeLines="50" w:before="156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公司目前注册资金</w:t>
            </w:r>
            <w:r w:rsidR="00E7172C">
              <w:rPr>
                <w:rFonts w:ascii="宋体" w:hAnsi="宋体" w:cs="宋体" w:hint="eastAsia"/>
                <w:sz w:val="22"/>
              </w:rPr>
              <w:t>3000</w:t>
            </w:r>
            <w:r>
              <w:rPr>
                <w:rFonts w:ascii="宋体" w:hAnsi="宋体" w:cs="宋体" w:hint="eastAsia"/>
                <w:sz w:val="22"/>
              </w:rPr>
              <w:t>万元，下设9个分公司和4个控股子公司及30个地区作业部，业务分布全国各地，具备国家特种设备安装改造维修许可证A级及安全生产许可证。公司在职职工有4000多人，工程技术及经济类管理人员120人，其中：高级职称7人，中级职称21人，年安装电梯能力超10000台、维保服务中的台数超25000台。二十年来，相继承担了上海中心、金茂大厦、上海新世界商厦、上海世贸滨江花园、中央电视台、中海地产、天津津塔、重庆世贸大厦、重庆轻轨、四川第一高楼――四川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2"/>
              </w:rPr>
              <w:t>电视塔、大连万达、三峡工程、贵州黄果树等许多国内重大工程的电梯安装任务，在工程质量、服务、进度、安全等方面都得到了政府主管部门和用户的好评。目前公司从年安装数量、完成产值、职工人数等方面，已是全国规模最大的电梯专业安装维保公司之一。</w:t>
            </w:r>
          </w:p>
          <w:p w:rsidR="0012575E" w:rsidRDefault="0012575E" w:rsidP="0012575E">
            <w:pPr>
              <w:spacing w:beforeLines="50" w:before="156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公司1998年底通过了ISO9000认证，并于2001年通过了ISO9001:2000质量管理体系、ISO14001环境管理体系、OHSAS职业安全健康管理体系的认证，并建立了整合型的综合管理体系。2005年被中国电梯协会选为理事单位，是全国唯一一家以专业电梯安装公司入选的理事单位。公司建立了完整的安全管理网络，落实各级安全责任制；建立了层层质量检查网络，保证优良的产品交付给用户。公司始终贯彻“不断提高用户满意是我们永远的追求”的质量方针，要求全体员工敬业、爱岗，以优质服务回报用户、服务社会。</w:t>
            </w:r>
          </w:p>
          <w:p w:rsidR="0012575E" w:rsidRDefault="0012575E" w:rsidP="0012575E">
            <w:pPr>
              <w:spacing w:beforeLines="50" w:before="156"/>
              <w:ind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在当今全球经济信息化的浪潮下，2002年公司自主开发了“电梯安装计算机辅助管理系统”，使全国范围内的电梯安装信息实现即时处理，信息共享，对电梯安装全过程进</w:t>
            </w:r>
            <w:r w:rsidR="00BE3943">
              <w:rPr>
                <w:rFonts w:ascii="宋体" w:hAnsi="宋体" w:cs="宋体" w:hint="eastAsia"/>
                <w:sz w:val="22"/>
              </w:rPr>
              <w:t>行远程网络化管理，电梯安装过程驶入了信息化管理的轨道，使江苏海菱机电设备工程有限公司</w:t>
            </w:r>
            <w:r>
              <w:rPr>
                <w:rFonts w:ascii="宋体" w:hAnsi="宋体" w:cs="宋体" w:hint="eastAsia"/>
                <w:sz w:val="22"/>
              </w:rPr>
              <w:t>成为国内首家实现全国联网网络化计算机辅助管理的电梯安装企业。</w:t>
            </w:r>
          </w:p>
          <w:p w:rsidR="0012575E" w:rsidRDefault="0012575E" w:rsidP="0012575E">
            <w:pPr>
              <w:spacing w:beforeLines="50" w:before="156"/>
              <w:ind w:firstLineChars="200" w:firstLine="440"/>
              <w:rPr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公司将在激烈的市场竞争中，进一步深化改革，增强活力，与时俱进，共创和谐，在发展社会主义市场经济中不断超越自我，坚持可持续发展，攀登新的高峰。</w:t>
            </w:r>
          </w:p>
        </w:tc>
      </w:tr>
    </w:tbl>
    <w:p w:rsidR="00F0581F" w:rsidRPr="0012575E" w:rsidRDefault="0012575E" w:rsidP="00CE0940">
      <w:pPr>
        <w:jc w:val="left"/>
        <w:rPr>
          <w:b/>
          <w:sz w:val="24"/>
          <w:szCs w:val="24"/>
        </w:rPr>
      </w:pPr>
      <w:r w:rsidRPr="0012575E">
        <w:rPr>
          <w:rFonts w:hint="eastAsia"/>
          <w:b/>
          <w:sz w:val="24"/>
          <w:szCs w:val="24"/>
        </w:rPr>
        <w:t>公司简介：</w:t>
      </w:r>
    </w:p>
    <w:sectPr w:rsidR="00F0581F" w:rsidRPr="0012575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62" w:rsidRDefault="00E92762" w:rsidP="00D565D5">
      <w:r>
        <w:separator/>
      </w:r>
    </w:p>
  </w:endnote>
  <w:endnote w:type="continuationSeparator" w:id="0">
    <w:p w:rsidR="00E92762" w:rsidRDefault="00E92762" w:rsidP="00D5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62" w:rsidRDefault="00E92762" w:rsidP="00D565D5">
      <w:r>
        <w:separator/>
      </w:r>
    </w:p>
  </w:footnote>
  <w:footnote w:type="continuationSeparator" w:id="0">
    <w:p w:rsidR="00E92762" w:rsidRDefault="00E92762" w:rsidP="00D5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5E" w:rsidRDefault="0012575E" w:rsidP="0012575E">
    <w:pPr>
      <w:pStyle w:val="a6"/>
      <w:jc w:val="left"/>
    </w:pPr>
    <w:r>
      <w:rPr>
        <w:noProof/>
      </w:rPr>
      <w:drawing>
        <wp:inline distT="0" distB="0" distL="0" distR="0">
          <wp:extent cx="2009775" cy="30944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80" cy="30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CF"/>
    <w:rsid w:val="00000C4F"/>
    <w:rsid w:val="0012575E"/>
    <w:rsid w:val="002D6868"/>
    <w:rsid w:val="0055417E"/>
    <w:rsid w:val="0058133B"/>
    <w:rsid w:val="005F44F2"/>
    <w:rsid w:val="006055FA"/>
    <w:rsid w:val="00607B9B"/>
    <w:rsid w:val="006F21A2"/>
    <w:rsid w:val="006F5639"/>
    <w:rsid w:val="00896A7F"/>
    <w:rsid w:val="008E6C67"/>
    <w:rsid w:val="00BE3943"/>
    <w:rsid w:val="00CB7FCF"/>
    <w:rsid w:val="00CE0940"/>
    <w:rsid w:val="00CE4962"/>
    <w:rsid w:val="00D24915"/>
    <w:rsid w:val="00D565D5"/>
    <w:rsid w:val="00E7172C"/>
    <w:rsid w:val="00E81A56"/>
    <w:rsid w:val="00E90019"/>
    <w:rsid w:val="00E92762"/>
    <w:rsid w:val="00F0581F"/>
    <w:rsid w:val="00F632CF"/>
    <w:rsid w:val="064C3455"/>
    <w:rsid w:val="10245236"/>
    <w:rsid w:val="12604DDF"/>
    <w:rsid w:val="12AB6F36"/>
    <w:rsid w:val="165B23F6"/>
    <w:rsid w:val="1A021E0B"/>
    <w:rsid w:val="1CCF15A5"/>
    <w:rsid w:val="1E662C27"/>
    <w:rsid w:val="1F3729F6"/>
    <w:rsid w:val="316A2AE3"/>
    <w:rsid w:val="41E3440D"/>
    <w:rsid w:val="64BD552C"/>
    <w:rsid w:val="6EBB7FFC"/>
    <w:rsid w:val="6F4F24CF"/>
    <w:rsid w:val="73A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sz w:val="28"/>
      <w:szCs w:val="2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称呼 Char"/>
    <w:basedOn w:val="a0"/>
    <w:link w:val="a3"/>
    <w:uiPriority w:val="99"/>
    <w:qFormat/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rPr>
      <w:sz w:val="28"/>
      <w:szCs w:val="2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D686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D68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sz w:val="28"/>
      <w:szCs w:val="28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sz w:val="28"/>
      <w:szCs w:val="2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称呼 Char"/>
    <w:basedOn w:val="a0"/>
    <w:link w:val="a3"/>
    <w:uiPriority w:val="99"/>
    <w:qFormat/>
    <w:rPr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rPr>
      <w:sz w:val="28"/>
      <w:szCs w:val="2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2D686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D68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2020-03-23T09:26:00Z</cp:lastPrinted>
  <dcterms:created xsi:type="dcterms:W3CDTF">2021-06-15T22:56:00Z</dcterms:created>
  <dcterms:modified xsi:type="dcterms:W3CDTF">2021-08-03T22:55:00Z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